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DF0D7" w:themeColor="accent4" w:themeTint="33"/>
  <w:body>
    <w:p w:rsidR="005816E4" w:rsidRDefault="00684821" w:rsidP="005816E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4821">
        <w:rPr>
          <w:rFonts w:ascii="Times New Roman" w:hAnsi="Times New Roman" w:cs="Times New Roman"/>
          <w:b/>
          <w:sz w:val="24"/>
          <w:szCs w:val="24"/>
        </w:rPr>
        <w:t>Гречневая крупа - один из наиболее полезных и ценных в пищевом отношении продуктов. Ее вырабатывают из зерна культурной гречихи. В зависимости от способа обработки гречка делится на два вида: ядрицу и продел. Более полезная - ядрица, это цельные ядра гречихи, освобожденные от жестких плодовых оболочек. Продел — это расколотые зернышки гречихи (он же сечка). В них чуть меньше клетчатки и витаминов. Есть еще один вид крупы - это гречневые хлопья. Они мельче, чем продел, но качественнее, так как эти хлопья делаются путем расплющивания зерен. Такой вариант гречки быстр в приготовлении.</w:t>
      </w:r>
    </w:p>
    <w:p w:rsidR="0083214E" w:rsidRDefault="0083214E" w:rsidP="005816E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214E" w:rsidRDefault="0083214E" w:rsidP="005816E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3096540" cy="2529444"/>
            <wp:effectExtent l="19050" t="0" r="8610" b="0"/>
            <wp:docPr id="1" name="Рисунок 1" descr="C:\Users\User\Desktop\91b05f6bf740cbce0cb656a52cb37a47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91b05f6bf740cbce0cb656a52cb37a47.jf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8165" cy="25307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4821" w:rsidRDefault="00684821" w:rsidP="005816E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4821" w:rsidRDefault="00684821" w:rsidP="005816E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4821">
        <w:rPr>
          <w:rFonts w:ascii="Times New Roman" w:hAnsi="Times New Roman" w:cs="Times New Roman"/>
          <w:b/>
          <w:sz w:val="24"/>
          <w:szCs w:val="24"/>
        </w:rPr>
        <w:t>Гречневые каши - традиционная составляющая детского меню. Впервые включать в рацион ребенка гречку рекомендуют с 5-6 месячного возраста.</w:t>
      </w:r>
    </w:p>
    <w:p w:rsidR="00684821" w:rsidRDefault="00684821" w:rsidP="005816E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4821">
        <w:rPr>
          <w:rFonts w:ascii="Times New Roman" w:hAnsi="Times New Roman" w:cs="Times New Roman"/>
          <w:b/>
          <w:sz w:val="24"/>
          <w:szCs w:val="24"/>
        </w:rPr>
        <w:t xml:space="preserve">Гречневая крупа хорошо сочетается с продуктами животного </w:t>
      </w:r>
      <w:proofErr w:type="gramStart"/>
      <w:r w:rsidRPr="00684821">
        <w:rPr>
          <w:rFonts w:ascii="Times New Roman" w:hAnsi="Times New Roman" w:cs="Times New Roman"/>
          <w:b/>
          <w:sz w:val="24"/>
          <w:szCs w:val="24"/>
        </w:rPr>
        <w:t>происхождения</w:t>
      </w:r>
      <w:proofErr w:type="gramEnd"/>
      <w:r w:rsidRPr="00684821">
        <w:rPr>
          <w:rFonts w:ascii="Times New Roman" w:hAnsi="Times New Roman" w:cs="Times New Roman"/>
          <w:b/>
          <w:sz w:val="24"/>
          <w:szCs w:val="24"/>
        </w:rPr>
        <w:t xml:space="preserve"> таких как молоко, мясо, творог. Это позволяет создавать высокопитательные комбинации, сбалансированные по аминокислотному составу белков. Крупа содержит такие незаменимые аминокислоты, как лейцин, изолейцин, </w:t>
      </w:r>
      <w:proofErr w:type="spellStart"/>
      <w:r w:rsidRPr="00684821">
        <w:rPr>
          <w:rFonts w:ascii="Times New Roman" w:hAnsi="Times New Roman" w:cs="Times New Roman"/>
          <w:b/>
          <w:sz w:val="24"/>
          <w:szCs w:val="24"/>
        </w:rPr>
        <w:t>валин</w:t>
      </w:r>
      <w:proofErr w:type="spellEnd"/>
      <w:r w:rsidRPr="00684821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684821">
        <w:rPr>
          <w:rFonts w:ascii="Times New Roman" w:hAnsi="Times New Roman" w:cs="Times New Roman"/>
          <w:b/>
          <w:sz w:val="24"/>
          <w:szCs w:val="24"/>
        </w:rPr>
        <w:t>треонин</w:t>
      </w:r>
      <w:proofErr w:type="spellEnd"/>
      <w:r w:rsidRPr="00684821">
        <w:rPr>
          <w:rFonts w:ascii="Times New Roman" w:hAnsi="Times New Roman" w:cs="Times New Roman"/>
          <w:b/>
          <w:sz w:val="24"/>
          <w:szCs w:val="24"/>
        </w:rPr>
        <w:t xml:space="preserve">, лизин, </w:t>
      </w:r>
      <w:proofErr w:type="spellStart"/>
      <w:r w:rsidRPr="00684821">
        <w:rPr>
          <w:rFonts w:ascii="Times New Roman" w:hAnsi="Times New Roman" w:cs="Times New Roman"/>
          <w:b/>
          <w:sz w:val="24"/>
          <w:szCs w:val="24"/>
        </w:rPr>
        <w:t>фенилаланин</w:t>
      </w:r>
      <w:proofErr w:type="spellEnd"/>
      <w:r w:rsidRPr="00684821">
        <w:rPr>
          <w:rFonts w:ascii="Times New Roman" w:hAnsi="Times New Roman" w:cs="Times New Roman"/>
          <w:b/>
          <w:sz w:val="24"/>
          <w:szCs w:val="24"/>
        </w:rPr>
        <w:t xml:space="preserve"> и другие.</w:t>
      </w:r>
    </w:p>
    <w:p w:rsidR="00684821" w:rsidRDefault="00684821" w:rsidP="005816E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482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Гречневую кашу рекомендуют в качестве лечебного питания, а также при анемиях, диабете, заболеваниях желудочно-кишечного тракта, </w:t>
      </w:r>
      <w:proofErr w:type="spellStart"/>
      <w:proofErr w:type="gramStart"/>
      <w:r w:rsidRPr="00684821">
        <w:rPr>
          <w:rFonts w:ascii="Times New Roman" w:hAnsi="Times New Roman" w:cs="Times New Roman"/>
          <w:b/>
          <w:sz w:val="24"/>
          <w:szCs w:val="24"/>
        </w:rPr>
        <w:t>сердечно-сосудистой</w:t>
      </w:r>
      <w:proofErr w:type="spellEnd"/>
      <w:proofErr w:type="gramEnd"/>
      <w:r w:rsidRPr="00684821">
        <w:rPr>
          <w:rFonts w:ascii="Times New Roman" w:hAnsi="Times New Roman" w:cs="Times New Roman"/>
          <w:b/>
          <w:sz w:val="24"/>
          <w:szCs w:val="24"/>
        </w:rPr>
        <w:t xml:space="preserve"> системы, патологии печени и желчного пузыря, при ожирении.</w:t>
      </w:r>
    </w:p>
    <w:p w:rsidR="00684821" w:rsidRDefault="00684821" w:rsidP="005816E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4821">
        <w:rPr>
          <w:rFonts w:ascii="Times New Roman" w:hAnsi="Times New Roman" w:cs="Times New Roman"/>
          <w:b/>
          <w:sz w:val="24"/>
          <w:szCs w:val="24"/>
        </w:rPr>
        <w:t xml:space="preserve">В гречневой крупе присутствуют моно- и полиненасыщенные жирные кислоты: </w:t>
      </w:r>
      <w:proofErr w:type="spellStart"/>
      <w:r w:rsidRPr="00684821">
        <w:rPr>
          <w:rFonts w:ascii="Times New Roman" w:hAnsi="Times New Roman" w:cs="Times New Roman"/>
          <w:b/>
          <w:sz w:val="24"/>
          <w:szCs w:val="24"/>
        </w:rPr>
        <w:t>линолевая</w:t>
      </w:r>
      <w:proofErr w:type="spellEnd"/>
      <w:r w:rsidRPr="00684821">
        <w:rPr>
          <w:rFonts w:ascii="Times New Roman" w:hAnsi="Times New Roman" w:cs="Times New Roman"/>
          <w:b/>
          <w:sz w:val="24"/>
          <w:szCs w:val="24"/>
        </w:rPr>
        <w:t>, линоленовая, олеиновая.</w:t>
      </w:r>
    </w:p>
    <w:p w:rsidR="00684821" w:rsidRDefault="00684821" w:rsidP="005816E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4821">
        <w:rPr>
          <w:rFonts w:ascii="Times New Roman" w:hAnsi="Times New Roman" w:cs="Times New Roman"/>
          <w:b/>
          <w:sz w:val="24"/>
          <w:szCs w:val="24"/>
        </w:rPr>
        <w:t>В составе гречневой крупы содержатся лецитин. Он играет важную роль в метаболизме жиров и холестерина. Лецитин способствует расщеплению и выведению холестерина из организма человека. Лецитин связывается с холестерином, транспортирует его в печень, где он перерабатывается, а затем выводится из организма.</w:t>
      </w:r>
    </w:p>
    <w:p w:rsidR="00684821" w:rsidRDefault="00684821" w:rsidP="005816E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4821">
        <w:rPr>
          <w:rFonts w:ascii="Times New Roman" w:hAnsi="Times New Roman" w:cs="Times New Roman"/>
          <w:b/>
          <w:sz w:val="24"/>
          <w:szCs w:val="24"/>
        </w:rPr>
        <w:t>В организме ребенка лецитин стимулирует рост, кроветворение, благоприятно влияет на деятельность нервной системы и печени.</w:t>
      </w:r>
    </w:p>
    <w:p w:rsidR="00684821" w:rsidRDefault="00684821" w:rsidP="005816E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4821">
        <w:rPr>
          <w:rFonts w:ascii="Times New Roman" w:hAnsi="Times New Roman" w:cs="Times New Roman"/>
          <w:b/>
          <w:sz w:val="24"/>
          <w:szCs w:val="24"/>
        </w:rPr>
        <w:t xml:space="preserve">В гречневой крупе высокое содержанием витаминов В1, В2, РР, В6, пантотеновой кислоты, </w:t>
      </w:r>
      <w:proofErr w:type="spellStart"/>
      <w:r w:rsidRPr="00684821">
        <w:rPr>
          <w:rFonts w:ascii="Times New Roman" w:hAnsi="Times New Roman" w:cs="Times New Roman"/>
          <w:b/>
          <w:sz w:val="24"/>
          <w:szCs w:val="24"/>
        </w:rPr>
        <w:t>фолацина</w:t>
      </w:r>
      <w:proofErr w:type="spellEnd"/>
      <w:r w:rsidRPr="00684821">
        <w:rPr>
          <w:rFonts w:ascii="Times New Roman" w:hAnsi="Times New Roman" w:cs="Times New Roman"/>
          <w:b/>
          <w:sz w:val="24"/>
          <w:szCs w:val="24"/>
        </w:rPr>
        <w:t xml:space="preserve">, холина, витамина Е, присутствуют биотин, </w:t>
      </w:r>
      <w:proofErr w:type="gramStart"/>
      <w:r w:rsidRPr="00684821">
        <w:rPr>
          <w:rFonts w:ascii="Times New Roman" w:hAnsi="Times New Roman" w:cs="Times New Roman"/>
          <w:b/>
          <w:sz w:val="24"/>
          <w:szCs w:val="24"/>
        </w:rPr>
        <w:t>β-</w:t>
      </w:r>
      <w:proofErr w:type="gramEnd"/>
      <w:r w:rsidRPr="00684821">
        <w:rPr>
          <w:rFonts w:ascii="Times New Roman" w:hAnsi="Times New Roman" w:cs="Times New Roman"/>
          <w:b/>
          <w:sz w:val="24"/>
          <w:szCs w:val="24"/>
        </w:rPr>
        <w:t>каротин и рутин. Из минеральных веще</w:t>
      </w:r>
      <w:proofErr w:type="gramStart"/>
      <w:r w:rsidRPr="00684821">
        <w:rPr>
          <w:rFonts w:ascii="Times New Roman" w:hAnsi="Times New Roman" w:cs="Times New Roman"/>
          <w:b/>
          <w:sz w:val="24"/>
          <w:szCs w:val="24"/>
        </w:rPr>
        <w:t>ств в гр</w:t>
      </w:r>
      <w:proofErr w:type="gramEnd"/>
      <w:r w:rsidRPr="00684821">
        <w:rPr>
          <w:rFonts w:ascii="Times New Roman" w:hAnsi="Times New Roman" w:cs="Times New Roman"/>
          <w:b/>
          <w:sz w:val="24"/>
          <w:szCs w:val="24"/>
        </w:rPr>
        <w:t>ечке достаточное количество фосфора, магния, калия, цинка, марганца, меди, кремния и серы.</w:t>
      </w:r>
    </w:p>
    <w:p w:rsidR="0083214E" w:rsidRDefault="0083214E" w:rsidP="005816E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214E" w:rsidRDefault="0083214E" w:rsidP="005816E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3095906" cy="2386940"/>
            <wp:effectExtent l="19050" t="0" r="9244" b="0"/>
            <wp:docPr id="3" name="Рисунок 2" descr="C:\Users\User\Desktop\poleznaya-grechk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poleznaya-grechka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8165" cy="23886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4821" w:rsidRPr="005816E4" w:rsidRDefault="00684821" w:rsidP="005816E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4821">
        <w:rPr>
          <w:rFonts w:ascii="Times New Roman" w:hAnsi="Times New Roman" w:cs="Times New Roman"/>
          <w:b/>
          <w:sz w:val="24"/>
          <w:szCs w:val="24"/>
        </w:rPr>
        <w:t>Питайтесь полезно</w:t>
      </w:r>
      <w:r>
        <w:rPr>
          <w:rFonts w:ascii="Times New Roman" w:hAnsi="Times New Roman" w:cs="Times New Roman"/>
          <w:b/>
          <w:sz w:val="24"/>
          <w:szCs w:val="24"/>
        </w:rPr>
        <w:t>!</w:t>
      </w:r>
    </w:p>
    <w:sectPr w:rsidR="00684821" w:rsidRPr="005816E4" w:rsidSect="000B53FE">
      <w:pgSz w:w="11906" w:h="16838"/>
      <w:pgMar w:top="720" w:right="720" w:bottom="720" w:left="720" w:header="708" w:footer="708" w:gutter="0"/>
      <w:pgBorders w:offsetFrom="page">
        <w:top w:val="single" w:sz="18" w:space="24" w:color="FBD387" w:themeColor="accent4" w:themeTint="99"/>
        <w:left w:val="single" w:sz="18" w:space="24" w:color="FBD387" w:themeColor="accent4" w:themeTint="99"/>
        <w:bottom w:val="single" w:sz="18" w:space="24" w:color="FBD387" w:themeColor="accent4" w:themeTint="99"/>
        <w:right w:val="single" w:sz="18" w:space="24" w:color="FBD387" w:themeColor="accent4" w:themeTint="99"/>
      </w:pgBorders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816E4"/>
    <w:rsid w:val="000B53FE"/>
    <w:rsid w:val="00264403"/>
    <w:rsid w:val="002E0AF8"/>
    <w:rsid w:val="004435EE"/>
    <w:rsid w:val="005816E4"/>
    <w:rsid w:val="00684821"/>
    <w:rsid w:val="00812F31"/>
    <w:rsid w:val="0083214E"/>
    <w:rsid w:val="00C03A95"/>
    <w:rsid w:val="00C24238"/>
    <w:rsid w:val="00D75104"/>
    <w:rsid w:val="00EB0181"/>
    <w:rsid w:val="00EC31B8"/>
    <w:rsid w:val="00F422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none [66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4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816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816E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816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16E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787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Изящная">
  <a:themeElements>
    <a:clrScheme name="Изящная">
      <a:dk1>
        <a:sysClr val="windowText" lastClr="000000"/>
      </a:dk1>
      <a:lt1>
        <a:sysClr val="window" lastClr="FFFFFF"/>
      </a:lt1>
      <a:dk2>
        <a:srgbClr val="B13F9A"/>
      </a:dk2>
      <a:lt2>
        <a:srgbClr val="F4E7ED"/>
      </a:lt2>
      <a:accent1>
        <a:srgbClr val="B83D68"/>
      </a:accent1>
      <a:accent2>
        <a:srgbClr val="AC66BB"/>
      </a:accent2>
      <a:accent3>
        <a:srgbClr val="DE6C36"/>
      </a:accent3>
      <a:accent4>
        <a:srgbClr val="F9B639"/>
      </a:accent4>
      <a:accent5>
        <a:srgbClr val="CF6DA4"/>
      </a:accent5>
      <a:accent6>
        <a:srgbClr val="FA8D3D"/>
      </a:accent6>
      <a:hlink>
        <a:srgbClr val="FFDE66"/>
      </a:hlink>
      <a:folHlink>
        <a:srgbClr val="D490C5"/>
      </a:folHlink>
    </a:clrScheme>
    <a:fontScheme name="Изящная">
      <a:majorFont>
        <a:latin typeface="Trebuchet MS"/>
        <a:ea typeface=""/>
        <a:cs typeface=""/>
        <a:font script="Jpan" typeface="HG丸ｺﾞｼｯｸM-PRO"/>
        <a:font script="Hang" typeface="HY그래픽M"/>
        <a:font script="Hans" typeface="黑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Изящная">
      <a:fillStyleLst>
        <a:solidFill>
          <a:schemeClr val="phClr"/>
        </a:solidFill>
        <a:gradFill rotWithShape="1">
          <a:gsLst>
            <a:gs pos="0">
              <a:schemeClr val="phClr">
                <a:tint val="15000"/>
                <a:satMod val="250000"/>
              </a:schemeClr>
            </a:gs>
            <a:gs pos="49000">
              <a:schemeClr val="phClr">
                <a:tint val="50000"/>
                <a:satMod val="200000"/>
              </a:schemeClr>
            </a:gs>
            <a:gs pos="49100">
              <a:schemeClr val="phClr">
                <a:tint val="64000"/>
                <a:satMod val="160000"/>
              </a:schemeClr>
            </a:gs>
            <a:gs pos="92000">
              <a:schemeClr val="phClr">
                <a:tint val="50000"/>
                <a:satMod val="200000"/>
              </a:schemeClr>
            </a:gs>
            <a:gs pos="100000">
              <a:schemeClr val="phClr">
                <a:tint val="43000"/>
                <a:satMod val="19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4000"/>
              </a:schemeClr>
            </a:gs>
            <a:gs pos="49000">
              <a:schemeClr val="phClr">
                <a:tint val="96000"/>
                <a:shade val="84000"/>
                <a:satMod val="110000"/>
              </a:schemeClr>
            </a:gs>
            <a:gs pos="49100">
              <a:schemeClr val="phClr">
                <a:shade val="55000"/>
                <a:satMod val="150000"/>
              </a:schemeClr>
            </a:gs>
            <a:gs pos="92000">
              <a:schemeClr val="phClr">
                <a:tint val="98000"/>
                <a:shade val="90000"/>
                <a:satMod val="128000"/>
              </a:schemeClr>
            </a:gs>
            <a:gs pos="100000">
              <a:schemeClr val="phClr">
                <a:tint val="90000"/>
                <a:shade val="97000"/>
                <a:satMod val="128000"/>
              </a:schemeClr>
            </a:gs>
          </a:gsLst>
          <a:lin ang="5400000" scaled="1"/>
        </a:gradFill>
      </a:fillStyleLst>
      <a:lnStyleLst>
        <a:ln w="11430" cap="flat" cmpd="sng" algn="ctr">
          <a:solidFill>
            <a:schemeClr val="phClr"/>
          </a:solidFill>
          <a:prstDash val="solid"/>
        </a:ln>
        <a:ln w="40000" cap="flat" cmpd="sng" algn="ctr">
          <a:solidFill>
            <a:schemeClr val="phClr"/>
          </a:solidFill>
          <a:prstDash val="solid"/>
        </a:ln>
        <a:ln w="31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chemeClr val="phClr">
                <a:shade val="30000"/>
                <a:satMod val="150000"/>
                <a:alpha val="38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500000"/>
            </a:lightRig>
          </a:scene3d>
          <a:sp3d extrusionH="127000" prstMaterial="powder">
            <a:bevelT w="50800" h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78000"/>
                <a:satMod val="220000"/>
              </a:schemeClr>
            </a:gs>
            <a:gs pos="100000">
              <a:schemeClr val="phClr">
                <a:shade val="35000"/>
                <a:satMod val="155000"/>
              </a:schemeClr>
            </a:gs>
          </a:gsLst>
          <a:path path="circle">
            <a:fillToRect l="50000" t="50000" r="50000" b="50000"/>
          </a:path>
        </a:gradFill>
        <a:blipFill>
          <a:blip xmlns:r="http://schemas.openxmlformats.org/officeDocument/2006/relationships" r:embed="rId1">
            <a:duotone>
              <a:schemeClr val="phClr">
                <a:shade val="60000"/>
                <a:satMod val="180000"/>
              </a:schemeClr>
              <a:schemeClr val="phClr">
                <a:tint val="500"/>
                <a:satMod val="150000"/>
              </a:schemeClr>
            </a:duotone>
          </a:blip>
          <a:tile tx="0" ty="0" sx="50000" sy="5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87A54C-E758-4552-BD20-AB280F37F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dcterms:created xsi:type="dcterms:W3CDTF">2025-07-08T02:46:00Z</dcterms:created>
  <dcterms:modified xsi:type="dcterms:W3CDTF">2025-09-23T06:04:00Z</dcterms:modified>
</cp:coreProperties>
</file>