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E4B" w:rsidRPr="00150131" w:rsidRDefault="00947E4B" w:rsidP="0019240B">
      <w:pPr>
        <w:pStyle w:val="a3"/>
        <w:shd w:val="clear" w:color="auto" w:fill="FFFFFF"/>
        <w:spacing w:before="0" w:beforeAutospacing="0" w:after="240" w:afterAutospacing="0"/>
        <w:jc w:val="center"/>
        <w:rPr>
          <w:rFonts w:ascii="Verdana" w:hAnsi="Verdana"/>
          <w:b/>
          <w:color w:val="1B1810" w:themeColor="background2" w:themeShade="1A"/>
          <w:sz w:val="18"/>
          <w:szCs w:val="15"/>
        </w:rPr>
      </w:pPr>
      <w:r w:rsidRPr="00150131">
        <w:rPr>
          <w:rFonts w:ascii="Verdana" w:hAnsi="Verdana"/>
          <w:b/>
          <w:color w:val="1B1810" w:themeColor="background2" w:themeShade="1A"/>
          <w:sz w:val="18"/>
          <w:szCs w:val="15"/>
        </w:rPr>
        <w:t>Правила доставки продукции общественного питания регламентируются:</w:t>
      </w:r>
    </w:p>
    <w:p w:rsidR="0019240B" w:rsidRPr="00150131" w:rsidRDefault="00947E4B" w:rsidP="00947E4B">
      <w:pPr>
        <w:pStyle w:val="a3"/>
        <w:numPr>
          <w:ilvl w:val="0"/>
          <w:numId w:val="1"/>
        </w:numPr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1B1810" w:themeColor="background2" w:themeShade="1A"/>
          <w:sz w:val="18"/>
          <w:szCs w:val="15"/>
        </w:rPr>
      </w:pPr>
      <w:r w:rsidRPr="00150131">
        <w:rPr>
          <w:rFonts w:ascii="Verdana" w:hAnsi="Verdana"/>
          <w:b/>
          <w:color w:val="1B1810" w:themeColor="background2" w:themeShade="1A"/>
          <w:sz w:val="18"/>
          <w:szCs w:val="15"/>
        </w:rPr>
        <w:t>СП 2.3.6.1079-01</w:t>
      </w:r>
      <w:r w:rsidRPr="00150131">
        <w:rPr>
          <w:rFonts w:ascii="Verdana" w:hAnsi="Verdana"/>
          <w:color w:val="1B1810" w:themeColor="background2" w:themeShade="1A"/>
          <w:sz w:val="18"/>
          <w:szCs w:val="15"/>
        </w:rPr>
        <w:t xml:space="preserve"> «Санитарно-эпидемиологические требования к организациям общественного питания, изготовлению и </w:t>
      </w:r>
      <w:proofErr w:type="spellStart"/>
      <w:r w:rsidRPr="00150131">
        <w:rPr>
          <w:rFonts w:ascii="Verdana" w:hAnsi="Verdana"/>
          <w:color w:val="1B1810" w:themeColor="background2" w:themeShade="1A"/>
          <w:sz w:val="18"/>
          <w:szCs w:val="15"/>
        </w:rPr>
        <w:t>оборотоспособности</w:t>
      </w:r>
      <w:proofErr w:type="spellEnd"/>
      <w:r w:rsidRPr="00150131">
        <w:rPr>
          <w:rFonts w:ascii="Verdana" w:hAnsi="Verdana"/>
          <w:color w:val="1B1810" w:themeColor="background2" w:themeShade="1A"/>
          <w:sz w:val="18"/>
          <w:szCs w:val="15"/>
        </w:rPr>
        <w:t xml:space="preserve"> в них пищевых продуктов и продовольственного сырья»;</w:t>
      </w:r>
    </w:p>
    <w:p w:rsidR="0019240B" w:rsidRPr="00150131" w:rsidRDefault="00947E4B" w:rsidP="00947E4B">
      <w:pPr>
        <w:pStyle w:val="a3"/>
        <w:numPr>
          <w:ilvl w:val="0"/>
          <w:numId w:val="1"/>
        </w:numPr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1B1810" w:themeColor="background2" w:themeShade="1A"/>
          <w:sz w:val="18"/>
          <w:szCs w:val="15"/>
        </w:rPr>
      </w:pPr>
      <w:r w:rsidRPr="00150131">
        <w:rPr>
          <w:rFonts w:ascii="Verdana" w:hAnsi="Verdana"/>
          <w:b/>
          <w:color w:val="1B1810" w:themeColor="background2" w:themeShade="1A"/>
          <w:sz w:val="18"/>
          <w:szCs w:val="15"/>
        </w:rPr>
        <w:t>ГОСТ 0390-2013</w:t>
      </w:r>
      <w:r w:rsidRPr="00150131">
        <w:rPr>
          <w:rFonts w:ascii="Verdana" w:hAnsi="Verdana"/>
          <w:color w:val="1B1810" w:themeColor="background2" w:themeShade="1A"/>
          <w:sz w:val="18"/>
          <w:szCs w:val="15"/>
        </w:rPr>
        <w:t xml:space="preserve"> «Услуги общественного питания. Продукция общественного питания, реализуемая населению. Общие технические условия»;</w:t>
      </w:r>
    </w:p>
    <w:p w:rsidR="00947E4B" w:rsidRPr="00150131" w:rsidRDefault="00947E4B" w:rsidP="00947E4B">
      <w:pPr>
        <w:pStyle w:val="a3"/>
        <w:numPr>
          <w:ilvl w:val="0"/>
          <w:numId w:val="1"/>
        </w:numPr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1B1810" w:themeColor="background2" w:themeShade="1A"/>
          <w:sz w:val="18"/>
          <w:szCs w:val="15"/>
        </w:rPr>
      </w:pPr>
      <w:r w:rsidRPr="00150131">
        <w:rPr>
          <w:rFonts w:ascii="Verdana" w:hAnsi="Verdana"/>
          <w:b/>
          <w:color w:val="1B1810" w:themeColor="background2" w:themeShade="1A"/>
          <w:sz w:val="18"/>
          <w:szCs w:val="15"/>
        </w:rPr>
        <w:t xml:space="preserve">ГОСТ </w:t>
      </w:r>
      <w:proofErr w:type="gramStart"/>
      <w:r w:rsidRPr="00150131">
        <w:rPr>
          <w:rFonts w:ascii="Verdana" w:hAnsi="Verdana"/>
          <w:b/>
          <w:color w:val="1B1810" w:themeColor="background2" w:themeShade="1A"/>
          <w:sz w:val="18"/>
          <w:szCs w:val="15"/>
        </w:rPr>
        <w:t>Р</w:t>
      </w:r>
      <w:proofErr w:type="gramEnd"/>
      <w:r w:rsidRPr="00150131">
        <w:rPr>
          <w:rFonts w:ascii="Verdana" w:hAnsi="Verdana"/>
          <w:b/>
          <w:color w:val="1B1810" w:themeColor="background2" w:themeShade="1A"/>
          <w:sz w:val="18"/>
          <w:szCs w:val="15"/>
        </w:rPr>
        <w:t xml:space="preserve"> 55051-2012</w:t>
      </w:r>
      <w:r w:rsidRPr="00150131">
        <w:rPr>
          <w:rFonts w:ascii="Verdana" w:hAnsi="Verdana"/>
          <w:color w:val="1B1810" w:themeColor="background2" w:themeShade="1A"/>
          <w:sz w:val="18"/>
          <w:szCs w:val="15"/>
        </w:rPr>
        <w:t xml:space="preserve"> «Услуги общественного питания. Общие требования к </w:t>
      </w:r>
      <w:proofErr w:type="spellStart"/>
      <w:r w:rsidRPr="00150131">
        <w:rPr>
          <w:rFonts w:ascii="Verdana" w:hAnsi="Verdana"/>
          <w:color w:val="1B1810" w:themeColor="background2" w:themeShade="1A"/>
          <w:sz w:val="18"/>
          <w:szCs w:val="15"/>
        </w:rPr>
        <w:t>кейтерингу</w:t>
      </w:r>
      <w:proofErr w:type="spellEnd"/>
      <w:r w:rsidRPr="00150131">
        <w:rPr>
          <w:rFonts w:ascii="Verdana" w:hAnsi="Verdana"/>
          <w:color w:val="1B1810" w:themeColor="background2" w:themeShade="1A"/>
          <w:sz w:val="18"/>
          <w:szCs w:val="15"/>
        </w:rPr>
        <w:t>»</w:t>
      </w:r>
      <w:r w:rsidR="00150131" w:rsidRPr="00150131">
        <w:rPr>
          <w:rFonts w:ascii="Verdana" w:hAnsi="Verdana"/>
          <w:color w:val="1B1810" w:themeColor="background2" w:themeShade="1A"/>
          <w:sz w:val="18"/>
          <w:szCs w:val="15"/>
        </w:rPr>
        <w:t>.</w:t>
      </w:r>
    </w:p>
    <w:p w:rsidR="0019240B" w:rsidRDefault="00913EBB">
      <w:r>
        <w:rPr>
          <w:noProof/>
          <w:lang w:eastAsia="ru-RU"/>
        </w:rPr>
        <w:drawing>
          <wp:inline distT="0" distB="0" distL="0" distR="0">
            <wp:extent cx="3023870" cy="1447800"/>
            <wp:effectExtent l="19050" t="0" r="5080" b="0"/>
            <wp:docPr id="16" name="Рисунок 15" descr="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(1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387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0131" w:rsidRPr="00150131" w:rsidRDefault="00150131" w:rsidP="00150131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1B1810" w:themeColor="background2" w:themeShade="1A"/>
          <w:sz w:val="18"/>
          <w:szCs w:val="18"/>
        </w:rPr>
      </w:pPr>
      <w:r w:rsidRPr="00150131">
        <w:rPr>
          <w:rFonts w:ascii="Verdana" w:hAnsi="Verdana"/>
          <w:color w:val="1B1810" w:themeColor="background2" w:themeShade="1A"/>
          <w:sz w:val="18"/>
          <w:szCs w:val="18"/>
        </w:rPr>
        <w:t xml:space="preserve">Срок хранения горячих первых и вторых блюд в термосах не должен превышать </w:t>
      </w:r>
      <w:r w:rsidRPr="00150131">
        <w:rPr>
          <w:rFonts w:ascii="Verdana" w:hAnsi="Verdana"/>
          <w:b/>
          <w:color w:val="1B1810" w:themeColor="background2" w:themeShade="1A"/>
          <w:sz w:val="18"/>
          <w:szCs w:val="18"/>
        </w:rPr>
        <w:t>3-х часов</w:t>
      </w:r>
      <w:r w:rsidRPr="00150131">
        <w:rPr>
          <w:rFonts w:ascii="Verdana" w:hAnsi="Verdana"/>
          <w:color w:val="1B1810" w:themeColor="background2" w:themeShade="1A"/>
          <w:sz w:val="18"/>
          <w:szCs w:val="18"/>
        </w:rPr>
        <w:t xml:space="preserve"> (включая время их транспортирования). Каждая емкость с блюдами, кулинарными изделиями должна иметь </w:t>
      </w:r>
      <w:r w:rsidRPr="00150131">
        <w:rPr>
          <w:rFonts w:ascii="Verdana" w:hAnsi="Verdana"/>
          <w:b/>
          <w:color w:val="1B1810" w:themeColor="background2" w:themeShade="1A"/>
          <w:sz w:val="18"/>
          <w:szCs w:val="18"/>
        </w:rPr>
        <w:t>маркировочный ярлык</w:t>
      </w:r>
      <w:r w:rsidRPr="00150131">
        <w:rPr>
          <w:rFonts w:ascii="Verdana" w:hAnsi="Verdana"/>
          <w:color w:val="1B1810" w:themeColor="background2" w:themeShade="1A"/>
          <w:sz w:val="18"/>
          <w:szCs w:val="18"/>
        </w:rPr>
        <w:t>, где указывается наименование и адрес организации-изготовителя, дата и время изготовления, условия хранения и сроки годности. Ярлыки сохраняются до конца обслуживания мероприятий.</w:t>
      </w:r>
    </w:p>
    <w:p w:rsidR="00150131" w:rsidRPr="00150131" w:rsidRDefault="00150131" w:rsidP="00150131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1714500" cy="1000125"/>
            <wp:effectExtent l="19050" t="0" r="0" b="0"/>
            <wp:docPr id="17" name="Рисунок 16" descr="Снимок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2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919" cy="1000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3EBB" w:rsidRPr="00150131" w:rsidRDefault="00150131" w:rsidP="00150131">
      <w:pPr>
        <w:jc w:val="center"/>
        <w:rPr>
          <w:b/>
          <w:color w:val="1B1810" w:themeColor="background2" w:themeShade="1A"/>
          <w:sz w:val="28"/>
        </w:rPr>
      </w:pPr>
      <w:r w:rsidRPr="00150131">
        <w:rPr>
          <w:b/>
          <w:color w:val="1B1810" w:themeColor="background2" w:themeShade="1A"/>
          <w:sz w:val="28"/>
        </w:rPr>
        <w:lastRenderedPageBreak/>
        <w:t>ДОСТАВКА БЛЮД</w:t>
      </w:r>
    </w:p>
    <w:p w:rsidR="00947E4B" w:rsidRPr="00150131" w:rsidRDefault="0019240B" w:rsidP="00913EBB">
      <w:pPr>
        <w:jc w:val="both"/>
        <w:rPr>
          <w:rFonts w:ascii="Verdana" w:hAnsi="Verdana"/>
          <w:color w:val="1B1810" w:themeColor="background2" w:themeShade="1A"/>
          <w:sz w:val="18"/>
          <w:szCs w:val="15"/>
        </w:rPr>
      </w:pPr>
      <w:r w:rsidRPr="00150131">
        <w:rPr>
          <w:rFonts w:ascii="Verdana" w:hAnsi="Verdana"/>
          <w:color w:val="1B1810" w:themeColor="background2" w:themeShade="1A"/>
          <w:sz w:val="18"/>
          <w:szCs w:val="15"/>
        </w:rPr>
        <w:t>Фасовка блюд и кулинарных изделий в термосы, гастрономические емкости с крышками должна осуществляться в специально оборудованной рабочей зоне или в отдельном помещении. При этом температура горячих блюд при</w:t>
      </w:r>
      <w:r w:rsidRPr="00150131">
        <w:rPr>
          <w:color w:val="1B1810" w:themeColor="background2" w:themeShade="1A"/>
          <w:sz w:val="28"/>
        </w:rPr>
        <w:t xml:space="preserve"> </w:t>
      </w:r>
      <w:r w:rsidRPr="00150131">
        <w:rPr>
          <w:rFonts w:ascii="Verdana" w:hAnsi="Verdana"/>
          <w:color w:val="1B1810" w:themeColor="background2" w:themeShade="1A"/>
          <w:sz w:val="18"/>
          <w:szCs w:val="15"/>
        </w:rPr>
        <w:t xml:space="preserve">их фасовке должна быть </w:t>
      </w:r>
      <w:r w:rsidRPr="00150131">
        <w:rPr>
          <w:rFonts w:ascii="Verdana" w:hAnsi="Verdana"/>
          <w:b/>
          <w:color w:val="1B1810" w:themeColor="background2" w:themeShade="1A"/>
          <w:sz w:val="18"/>
          <w:szCs w:val="15"/>
        </w:rPr>
        <w:t>не менее 85°C.</w:t>
      </w:r>
      <w:r w:rsidRPr="00150131">
        <w:rPr>
          <w:rFonts w:ascii="Verdana" w:hAnsi="Verdana"/>
          <w:color w:val="1B1810" w:themeColor="background2" w:themeShade="1A"/>
          <w:sz w:val="18"/>
          <w:szCs w:val="15"/>
        </w:rPr>
        <w:t xml:space="preserve"> Температура охлажденных блюд при их фасовке должна быть </w:t>
      </w:r>
      <w:r w:rsidRPr="00150131">
        <w:rPr>
          <w:rFonts w:ascii="Verdana" w:hAnsi="Verdana"/>
          <w:b/>
          <w:color w:val="1B1810" w:themeColor="background2" w:themeShade="1A"/>
          <w:sz w:val="18"/>
          <w:szCs w:val="15"/>
        </w:rPr>
        <w:t>не более 8 °C внутри продукта.</w:t>
      </w:r>
    </w:p>
    <w:p w:rsidR="0019240B" w:rsidRPr="00150131" w:rsidRDefault="0019240B" w:rsidP="0019240B">
      <w:pPr>
        <w:jc w:val="center"/>
        <w:rPr>
          <w:color w:val="1B1810" w:themeColor="background2" w:themeShade="1A"/>
        </w:rPr>
      </w:pPr>
      <w:r w:rsidRPr="00150131">
        <w:rPr>
          <w:noProof/>
          <w:color w:val="1B1810" w:themeColor="background2" w:themeShade="1A"/>
          <w:lang w:eastAsia="ru-RU"/>
        </w:rPr>
        <w:drawing>
          <wp:inline distT="0" distB="0" distL="0" distR="0">
            <wp:extent cx="1790700" cy="1543050"/>
            <wp:effectExtent l="19050" t="0" r="0" b="0"/>
            <wp:docPr id="8" name="Рисунок 7" descr="491109.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91109.97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7E4B" w:rsidRPr="00150131" w:rsidRDefault="0019240B" w:rsidP="00913EBB">
      <w:pPr>
        <w:jc w:val="both"/>
        <w:rPr>
          <w:color w:val="1B1810" w:themeColor="background2" w:themeShade="1A"/>
          <w:sz w:val="28"/>
        </w:rPr>
      </w:pPr>
      <w:r w:rsidRPr="00150131">
        <w:rPr>
          <w:rFonts w:ascii="Verdana" w:hAnsi="Verdana"/>
          <w:b/>
          <w:color w:val="1B1810" w:themeColor="background2" w:themeShade="1A"/>
          <w:sz w:val="18"/>
          <w:szCs w:val="15"/>
        </w:rPr>
        <w:t>Не допускается заправка</w:t>
      </w:r>
      <w:r w:rsidRPr="00150131">
        <w:rPr>
          <w:rFonts w:ascii="Verdana" w:hAnsi="Verdana"/>
          <w:color w:val="1B1810" w:themeColor="background2" w:themeShade="1A"/>
          <w:sz w:val="18"/>
          <w:szCs w:val="15"/>
        </w:rPr>
        <w:t xml:space="preserve"> соусами салатной продукции, первых, вторых блюд, предназначенных для реализации вне организации общественного питания. </w:t>
      </w:r>
      <w:r w:rsidRPr="00150131">
        <w:rPr>
          <w:rFonts w:ascii="Verdana" w:hAnsi="Verdana"/>
          <w:b/>
          <w:color w:val="1B1810" w:themeColor="background2" w:themeShade="1A"/>
          <w:sz w:val="18"/>
          <w:szCs w:val="15"/>
        </w:rPr>
        <w:t>Соусы</w:t>
      </w:r>
      <w:r w:rsidRPr="00150131">
        <w:rPr>
          <w:rFonts w:ascii="Verdana" w:hAnsi="Verdana"/>
          <w:color w:val="1B1810" w:themeColor="background2" w:themeShade="1A"/>
          <w:sz w:val="18"/>
          <w:szCs w:val="15"/>
        </w:rPr>
        <w:t xml:space="preserve"> к блюдам доставляются </w:t>
      </w:r>
      <w:r w:rsidRPr="00150131">
        <w:rPr>
          <w:rFonts w:ascii="Verdana" w:hAnsi="Verdana"/>
          <w:b/>
          <w:color w:val="1B1810" w:themeColor="background2" w:themeShade="1A"/>
          <w:sz w:val="18"/>
          <w:szCs w:val="15"/>
        </w:rPr>
        <w:t>в индивидуальной потребительской упаковке.</w:t>
      </w:r>
    </w:p>
    <w:p w:rsidR="00947E4B" w:rsidRPr="00150131" w:rsidRDefault="0019240B" w:rsidP="0019240B">
      <w:pPr>
        <w:jc w:val="center"/>
        <w:rPr>
          <w:color w:val="1B1810" w:themeColor="background2" w:themeShade="1A"/>
        </w:rPr>
      </w:pPr>
      <w:r w:rsidRPr="00150131">
        <w:rPr>
          <w:noProof/>
          <w:color w:val="1B1810" w:themeColor="background2" w:themeShade="1A"/>
          <w:lang w:eastAsia="ru-RU"/>
        </w:rPr>
        <w:drawing>
          <wp:inline distT="0" distB="0" distL="0" distR="0">
            <wp:extent cx="2286000" cy="1490556"/>
            <wp:effectExtent l="19050" t="0" r="0" b="0"/>
            <wp:docPr id="9" name="Рисунок 8" descr="31bd932b-7f1b-4182-8a56-a73e007e5a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bd932b-7f1b-4182-8a56-a73e007e5a29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490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7E4B" w:rsidRPr="00150131" w:rsidRDefault="0019240B" w:rsidP="00913EBB">
      <w:pPr>
        <w:jc w:val="both"/>
        <w:rPr>
          <w:b/>
          <w:color w:val="1B1810" w:themeColor="background2" w:themeShade="1A"/>
          <w:sz w:val="28"/>
        </w:rPr>
      </w:pPr>
      <w:r w:rsidRPr="00150131">
        <w:rPr>
          <w:rFonts w:ascii="Verdana" w:hAnsi="Verdana"/>
          <w:color w:val="1B1810" w:themeColor="background2" w:themeShade="1A"/>
          <w:sz w:val="18"/>
          <w:szCs w:val="15"/>
        </w:rPr>
        <w:t xml:space="preserve">В целях предупреждения возникновения и распространения массовых инфекционных заболеваний транспортирование пищевых </w:t>
      </w:r>
      <w:r w:rsidRPr="00150131">
        <w:rPr>
          <w:rFonts w:ascii="Verdana" w:hAnsi="Verdana"/>
          <w:color w:val="1B1810" w:themeColor="background2" w:themeShade="1A"/>
          <w:sz w:val="18"/>
          <w:szCs w:val="15"/>
        </w:rPr>
        <w:lastRenderedPageBreak/>
        <w:t xml:space="preserve">продуктов осуществляется </w:t>
      </w:r>
      <w:r w:rsidRPr="00150131">
        <w:rPr>
          <w:rFonts w:ascii="Verdana" w:hAnsi="Verdana"/>
          <w:b/>
          <w:color w:val="1B1810" w:themeColor="background2" w:themeShade="1A"/>
          <w:sz w:val="18"/>
          <w:szCs w:val="15"/>
        </w:rPr>
        <w:t>специализированным, чистым транспортом.</w:t>
      </w:r>
    </w:p>
    <w:p w:rsidR="00947E4B" w:rsidRPr="00150131" w:rsidRDefault="0019240B">
      <w:pPr>
        <w:rPr>
          <w:color w:val="1B1810" w:themeColor="background2" w:themeShade="1A"/>
        </w:rPr>
      </w:pPr>
      <w:r w:rsidRPr="00150131">
        <w:rPr>
          <w:noProof/>
          <w:color w:val="1B1810" w:themeColor="background2" w:themeShade="1A"/>
          <w:lang w:eastAsia="ru-RU"/>
        </w:rPr>
        <w:drawing>
          <wp:inline distT="0" distB="0" distL="0" distR="0">
            <wp:extent cx="2930850" cy="1409700"/>
            <wp:effectExtent l="19050" t="0" r="2850" b="0"/>
            <wp:docPr id="10" name="Рисунок 9" descr="Снимок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2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7938" cy="1413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7E4B" w:rsidRPr="00150131" w:rsidRDefault="0019240B" w:rsidP="00913EBB">
      <w:pPr>
        <w:jc w:val="both"/>
        <w:rPr>
          <w:b/>
          <w:color w:val="1B1810" w:themeColor="background2" w:themeShade="1A"/>
          <w:sz w:val="28"/>
        </w:rPr>
      </w:pPr>
      <w:r w:rsidRPr="00150131">
        <w:rPr>
          <w:rFonts w:ascii="Verdana" w:hAnsi="Verdana"/>
          <w:b/>
          <w:color w:val="1B1810" w:themeColor="background2" w:themeShade="1A"/>
          <w:sz w:val="18"/>
          <w:szCs w:val="15"/>
        </w:rPr>
        <w:t>Доставка</w:t>
      </w:r>
      <w:r w:rsidRPr="00150131">
        <w:rPr>
          <w:rFonts w:ascii="Verdana" w:hAnsi="Verdana"/>
          <w:color w:val="1B1810" w:themeColor="background2" w:themeShade="1A"/>
          <w:sz w:val="18"/>
          <w:szCs w:val="15"/>
        </w:rPr>
        <w:t xml:space="preserve"> готовых блюд (кулинарных, кондитерских изделий) должна производиться </w:t>
      </w:r>
      <w:r w:rsidRPr="00150131">
        <w:rPr>
          <w:rFonts w:ascii="Verdana" w:hAnsi="Verdana"/>
          <w:b/>
          <w:color w:val="1B1810" w:themeColor="background2" w:themeShade="1A"/>
          <w:sz w:val="18"/>
          <w:szCs w:val="15"/>
        </w:rPr>
        <w:t xml:space="preserve">в </w:t>
      </w:r>
      <w:proofErr w:type="spellStart"/>
      <w:r w:rsidRPr="00150131">
        <w:rPr>
          <w:rFonts w:ascii="Verdana" w:hAnsi="Verdana"/>
          <w:b/>
          <w:color w:val="1B1810" w:themeColor="background2" w:themeShade="1A"/>
          <w:sz w:val="18"/>
          <w:szCs w:val="15"/>
        </w:rPr>
        <w:t>термоконтейнерах</w:t>
      </w:r>
      <w:proofErr w:type="spellEnd"/>
      <w:r w:rsidRPr="00150131">
        <w:rPr>
          <w:rFonts w:ascii="Verdana" w:hAnsi="Verdana"/>
          <w:b/>
          <w:color w:val="1B1810" w:themeColor="background2" w:themeShade="1A"/>
          <w:sz w:val="18"/>
          <w:szCs w:val="15"/>
        </w:rPr>
        <w:t>, сумках – холодильниках.</w:t>
      </w:r>
    </w:p>
    <w:p w:rsidR="00947E4B" w:rsidRPr="00150131" w:rsidRDefault="00913EBB" w:rsidP="00913EBB">
      <w:pPr>
        <w:jc w:val="center"/>
        <w:rPr>
          <w:color w:val="1B1810" w:themeColor="background2" w:themeShade="1A"/>
        </w:rPr>
      </w:pPr>
      <w:r w:rsidRPr="00150131">
        <w:rPr>
          <w:noProof/>
          <w:color w:val="1B1810" w:themeColor="background2" w:themeShade="1A"/>
          <w:lang w:eastAsia="ru-RU"/>
        </w:rPr>
        <w:drawing>
          <wp:inline distT="0" distB="0" distL="0" distR="0">
            <wp:extent cx="2190750" cy="1247775"/>
            <wp:effectExtent l="19050" t="0" r="0" b="0"/>
            <wp:docPr id="12" name="Рисунок 11" descr="1036020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36020241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3976" cy="1249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7E4B" w:rsidRPr="00150131" w:rsidRDefault="0019240B" w:rsidP="00913EBB">
      <w:pPr>
        <w:jc w:val="both"/>
        <w:rPr>
          <w:rFonts w:ascii="Verdana" w:hAnsi="Verdana"/>
          <w:color w:val="1B1810" w:themeColor="background2" w:themeShade="1A"/>
          <w:sz w:val="18"/>
          <w:szCs w:val="15"/>
        </w:rPr>
      </w:pPr>
      <w:r w:rsidRPr="00150131">
        <w:rPr>
          <w:rFonts w:ascii="Verdana" w:hAnsi="Verdana"/>
          <w:color w:val="1B1810" w:themeColor="background2" w:themeShade="1A"/>
          <w:sz w:val="18"/>
          <w:szCs w:val="15"/>
        </w:rPr>
        <w:t xml:space="preserve">Лица, сопровождающие (доставляющие) пищевые продукты, должны иметь </w:t>
      </w:r>
      <w:r w:rsidRPr="00150131">
        <w:rPr>
          <w:rFonts w:ascii="Verdana" w:hAnsi="Verdana"/>
          <w:b/>
          <w:color w:val="1B1810" w:themeColor="background2" w:themeShade="1A"/>
          <w:sz w:val="18"/>
          <w:szCs w:val="15"/>
        </w:rPr>
        <w:t>личную медицинскую книжку</w:t>
      </w:r>
      <w:r w:rsidRPr="00150131">
        <w:rPr>
          <w:rFonts w:ascii="Verdana" w:hAnsi="Verdana"/>
          <w:color w:val="1B1810" w:themeColor="background2" w:themeShade="1A"/>
          <w:sz w:val="18"/>
          <w:szCs w:val="15"/>
        </w:rPr>
        <w:t xml:space="preserve"> установленного образца с отметкой о прохождении медицинских осмотров, результатов лабораторных исследований и прохождения профессиональной гигиенической подготовки и аттестации. </w:t>
      </w:r>
    </w:p>
    <w:p w:rsidR="00947E4B" w:rsidRDefault="00913EBB">
      <w:r>
        <w:rPr>
          <w:noProof/>
          <w:lang w:eastAsia="ru-RU"/>
        </w:rPr>
        <w:drawing>
          <wp:inline distT="0" distB="0" distL="0" distR="0">
            <wp:extent cx="3017196" cy="1438275"/>
            <wp:effectExtent l="19050" t="0" r="0" b="0"/>
            <wp:docPr id="13" name="Рисунок 12" descr="akciya-prodlenie-lm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kciya-prodlenie-lmk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3870" cy="1441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7E4B" w:rsidRDefault="00947E4B"/>
    <w:p w:rsidR="00947E4B" w:rsidRDefault="00947E4B"/>
    <w:p w:rsidR="00947E4B" w:rsidRDefault="00947E4B"/>
    <w:p w:rsidR="00947E4B" w:rsidRDefault="00947E4B"/>
    <w:sectPr w:rsidR="00947E4B" w:rsidSect="00947E4B">
      <w:pgSz w:w="16838" w:h="11906" w:orient="landscape"/>
      <w:pgMar w:top="567" w:right="567" w:bottom="567" w:left="567" w:header="709" w:footer="709" w:gutter="0"/>
      <w:cols w:num="3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24D04"/>
    <w:multiLevelType w:val="hybridMultilevel"/>
    <w:tmpl w:val="A5A89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1707"/>
    <w:rsid w:val="000A0BFC"/>
    <w:rsid w:val="00150131"/>
    <w:rsid w:val="0019240B"/>
    <w:rsid w:val="002D1707"/>
    <w:rsid w:val="004C50B7"/>
    <w:rsid w:val="00644696"/>
    <w:rsid w:val="007C5B8D"/>
    <w:rsid w:val="00913EBB"/>
    <w:rsid w:val="00947E4B"/>
    <w:rsid w:val="0095222F"/>
    <w:rsid w:val="00B1748D"/>
    <w:rsid w:val="00FF6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1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47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7E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4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674C40-BCCD-437C-A4B8-B389EA6D6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2019-10-17T01:40:00Z</cp:lastPrinted>
  <dcterms:created xsi:type="dcterms:W3CDTF">2019-10-17T01:58:00Z</dcterms:created>
  <dcterms:modified xsi:type="dcterms:W3CDTF">2019-10-17T01:58:00Z</dcterms:modified>
</cp:coreProperties>
</file>